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D6D69" w14:textId="77777777" w:rsidR="00A51768" w:rsidRDefault="00A51768" w:rsidP="00A51768">
      <w:pPr>
        <w:rPr>
          <w:rFonts w:ascii="Aptos" w:hAnsi="Aptos" w:cs="Arial"/>
          <w:sz w:val="20"/>
          <w:szCs w:val="20"/>
        </w:rPr>
      </w:pPr>
      <w:r>
        <w:rPr>
          <w:rFonts w:ascii="Aptos" w:hAnsi="Aptos" w:cs="Arial"/>
          <w:sz w:val="20"/>
          <w:szCs w:val="20"/>
        </w:rPr>
        <w:t>Name und Adresse Anzeigenerstatter</w:t>
      </w:r>
    </w:p>
    <w:p w14:paraId="31AB1B0E" w14:textId="77777777" w:rsidR="00A51768" w:rsidRDefault="00A51768" w:rsidP="00A51768">
      <w:pPr>
        <w:rPr>
          <w:rFonts w:ascii="Aptos" w:hAnsi="Aptos" w:cs="Arial"/>
          <w:b/>
          <w:sz w:val="20"/>
          <w:szCs w:val="20"/>
          <w:u w:val="single"/>
        </w:rPr>
      </w:pPr>
    </w:p>
    <w:p w14:paraId="0C39AD9F" w14:textId="77777777" w:rsidR="00A51768" w:rsidRDefault="00A51768" w:rsidP="00A51768">
      <w:pPr>
        <w:rPr>
          <w:rFonts w:ascii="Aptos" w:hAnsi="Aptos" w:cs="Arial"/>
          <w:b/>
          <w:sz w:val="20"/>
          <w:szCs w:val="20"/>
          <w:u w:val="single"/>
        </w:rPr>
      </w:pPr>
    </w:p>
    <w:p w14:paraId="1BC675D2" w14:textId="77777777" w:rsidR="00A51768" w:rsidRDefault="00A51768" w:rsidP="00A51768">
      <w:pPr>
        <w:rPr>
          <w:rFonts w:ascii="Aptos" w:hAnsi="Aptos" w:cs="Arial"/>
          <w:sz w:val="20"/>
          <w:szCs w:val="20"/>
        </w:rPr>
      </w:pPr>
      <w:r>
        <w:rPr>
          <w:rFonts w:ascii="Aptos" w:hAnsi="Aptos" w:cs="Arial"/>
          <w:sz w:val="20"/>
          <w:szCs w:val="20"/>
        </w:rPr>
        <w:t>Adresse Staatsanwaltschaft beim zuständigen Landgericht</w:t>
      </w:r>
    </w:p>
    <w:p w14:paraId="27A2B097" w14:textId="77777777" w:rsidR="00A51768" w:rsidRDefault="00A51768" w:rsidP="00A51768">
      <w:pPr>
        <w:rPr>
          <w:rFonts w:ascii="Aptos" w:hAnsi="Aptos" w:cs="Arial"/>
          <w:b/>
          <w:u w:val="single"/>
        </w:rPr>
      </w:pPr>
    </w:p>
    <w:p w14:paraId="275D4648" w14:textId="77777777" w:rsidR="00A51768" w:rsidRDefault="00A51768" w:rsidP="00A51768">
      <w:pPr>
        <w:rPr>
          <w:rFonts w:ascii="Aptos" w:hAnsi="Aptos" w:cs="Arial"/>
        </w:rPr>
      </w:pPr>
    </w:p>
    <w:p w14:paraId="405DFF30" w14:textId="77777777" w:rsidR="00A51768" w:rsidRDefault="00A51768" w:rsidP="00A51768">
      <w:pPr>
        <w:ind w:left="1414" w:hanging="1414"/>
        <w:rPr>
          <w:rFonts w:ascii="Aptos" w:hAnsi="Aptos" w:cs="Arial"/>
          <w:b/>
          <w:bCs/>
          <w:sz w:val="26"/>
          <w:szCs w:val="26"/>
        </w:rPr>
      </w:pPr>
      <w:r>
        <w:rPr>
          <w:rFonts w:ascii="Aptos" w:hAnsi="Aptos" w:cs="Arial"/>
          <w:b/>
          <w:bCs/>
          <w:sz w:val="26"/>
          <w:szCs w:val="26"/>
        </w:rPr>
        <w:t xml:space="preserve">Betreff: </w:t>
      </w:r>
      <w:r>
        <w:rPr>
          <w:rFonts w:ascii="Aptos" w:hAnsi="Aptos" w:cs="Arial"/>
          <w:b/>
          <w:bCs/>
          <w:sz w:val="26"/>
          <w:szCs w:val="26"/>
        </w:rPr>
        <w:tab/>
        <w:t>Strafanzeige und Strafantrag wegen § 223 StGB (KV), § 224</w:t>
      </w:r>
    </w:p>
    <w:p w14:paraId="7113B5C4" w14:textId="77777777" w:rsidR="00A51768" w:rsidRDefault="00A51768" w:rsidP="00A51768">
      <w:pPr>
        <w:ind w:left="1414"/>
        <w:rPr>
          <w:rFonts w:ascii="Aptos" w:hAnsi="Aptos" w:cs="Arial"/>
          <w:b/>
          <w:bCs/>
          <w:sz w:val="26"/>
          <w:szCs w:val="26"/>
        </w:rPr>
      </w:pPr>
      <w:r>
        <w:rPr>
          <w:rFonts w:ascii="Aptos" w:hAnsi="Aptos" w:cs="Arial"/>
          <w:b/>
          <w:bCs/>
          <w:sz w:val="26"/>
          <w:szCs w:val="26"/>
        </w:rPr>
        <w:t xml:space="preserve">StGB (gefährliche KV) sowie </w:t>
      </w:r>
      <w:r>
        <w:rPr>
          <w:rFonts w:ascii="Aptos" w:hAnsi="Aptos" w:cs="Arial"/>
          <w:b/>
          <w:bCs/>
          <w:color w:val="000000"/>
          <w:sz w:val="26"/>
          <w:szCs w:val="26"/>
        </w:rPr>
        <w:t>aller in Betracht kommenden Delikte</w:t>
      </w:r>
    </w:p>
    <w:p w14:paraId="1C311E89" w14:textId="77777777" w:rsidR="00A51768" w:rsidRDefault="00A51768" w:rsidP="00A51768">
      <w:pPr>
        <w:rPr>
          <w:rFonts w:ascii="Aptos" w:hAnsi="Aptos" w:cs="Arial"/>
          <w:i/>
        </w:rPr>
      </w:pPr>
    </w:p>
    <w:p w14:paraId="236D2AD7" w14:textId="77777777" w:rsidR="00A51768" w:rsidRDefault="00A51768" w:rsidP="00A51768">
      <w:pPr>
        <w:ind w:left="5664" w:firstLine="708"/>
        <w:rPr>
          <w:rFonts w:ascii="Aptos" w:hAnsi="Aptos" w:cs="Arial"/>
          <w:color w:val="000000"/>
          <w:sz w:val="20"/>
          <w:szCs w:val="20"/>
        </w:rPr>
      </w:pPr>
      <w:r>
        <w:rPr>
          <w:rFonts w:ascii="Aptos" w:hAnsi="Aptos" w:cs="Arial"/>
          <w:sz w:val="20"/>
          <w:szCs w:val="20"/>
        </w:rPr>
        <w:t xml:space="preserve">Datum: </w:t>
      </w:r>
      <w:r>
        <w:rPr>
          <w:rFonts w:ascii="Aptos" w:hAnsi="Aptos" w:cs="Arial"/>
          <w:color w:val="000000"/>
          <w:sz w:val="20"/>
          <w:szCs w:val="20"/>
        </w:rPr>
        <w:t>_____________</w:t>
      </w:r>
    </w:p>
    <w:p w14:paraId="2E112F02" w14:textId="77777777" w:rsidR="00A51768" w:rsidRDefault="00A51768" w:rsidP="00A51768">
      <w:pPr>
        <w:rPr>
          <w:rFonts w:ascii="Aptos" w:hAnsi="Aptos" w:cs="Arial"/>
        </w:rPr>
      </w:pPr>
      <w:r>
        <w:rPr>
          <w:rFonts w:ascii="Aptos" w:hAnsi="Aptos" w:cs="Arial"/>
        </w:rPr>
        <w:t>Sehr geehrte Damen und Herren,</w:t>
      </w:r>
    </w:p>
    <w:p w14:paraId="64451C57" w14:textId="77777777" w:rsidR="00A51768" w:rsidRDefault="00A51768" w:rsidP="00A51768">
      <w:pPr>
        <w:rPr>
          <w:rFonts w:ascii="Aptos" w:hAnsi="Aptos" w:cs="Arial"/>
        </w:rPr>
      </w:pPr>
    </w:p>
    <w:p w14:paraId="4A5D33C9" w14:textId="77777777" w:rsidR="00A51768" w:rsidRDefault="00A51768" w:rsidP="00A51768">
      <w:pPr>
        <w:jc w:val="both"/>
        <w:rPr>
          <w:rFonts w:ascii="Aptos" w:hAnsi="Aptos" w:cs="Arial"/>
        </w:rPr>
      </w:pPr>
      <w:r>
        <w:rPr>
          <w:rFonts w:ascii="Aptos" w:hAnsi="Aptos" w:cs="Arial"/>
        </w:rPr>
        <w:t>hiermit erstatte ich Strafanzeige gegen</w:t>
      </w:r>
    </w:p>
    <w:p w14:paraId="74987B5C" w14:textId="77777777" w:rsidR="00A51768" w:rsidRDefault="00A51768" w:rsidP="00A51768">
      <w:pPr>
        <w:jc w:val="both"/>
        <w:rPr>
          <w:rFonts w:ascii="Aptos" w:hAnsi="Aptos" w:cs="Arial"/>
        </w:rPr>
      </w:pPr>
      <w:r>
        <w:rPr>
          <w:rFonts w:ascii="Aptos" w:hAnsi="Aptos" w:cs="Arial"/>
        </w:rPr>
        <w:t xml:space="preserve">   </w:t>
      </w:r>
    </w:p>
    <w:p w14:paraId="18C1745B" w14:textId="77777777" w:rsidR="00A51768" w:rsidRDefault="00A51768" w:rsidP="00A51768">
      <w:pPr>
        <w:jc w:val="center"/>
        <w:rPr>
          <w:rFonts w:ascii="Aptos" w:hAnsi="Aptos" w:cs="Arial"/>
        </w:rPr>
      </w:pPr>
      <w:r>
        <w:rPr>
          <w:rFonts w:ascii="Aptos" w:hAnsi="Aptos" w:cs="Arial"/>
        </w:rPr>
        <w:t>___________________________________________________________________</w:t>
      </w:r>
    </w:p>
    <w:p w14:paraId="50998B51" w14:textId="77777777" w:rsidR="00A51768" w:rsidRDefault="00A51768" w:rsidP="00A51768">
      <w:pPr>
        <w:jc w:val="center"/>
        <w:rPr>
          <w:rFonts w:ascii="Aptos" w:hAnsi="Aptos" w:cs="Arial"/>
          <w:sz w:val="20"/>
          <w:szCs w:val="20"/>
        </w:rPr>
      </w:pPr>
      <w:r>
        <w:rPr>
          <w:rFonts w:ascii="Aptos" w:hAnsi="Aptos" w:cs="Arial"/>
          <w:sz w:val="20"/>
          <w:szCs w:val="20"/>
        </w:rPr>
        <w:t>Name und Anschrift des Impfarztes bzw. der impfenden Person</w:t>
      </w:r>
    </w:p>
    <w:p w14:paraId="2D828E79" w14:textId="77777777" w:rsidR="00A51768" w:rsidRDefault="00A51768" w:rsidP="00A51768">
      <w:pPr>
        <w:jc w:val="both"/>
        <w:rPr>
          <w:rFonts w:ascii="Aptos" w:hAnsi="Aptos" w:cs="Arial"/>
        </w:rPr>
      </w:pPr>
    </w:p>
    <w:p w14:paraId="04A08EF4" w14:textId="77777777" w:rsidR="00A51768" w:rsidRDefault="00A51768" w:rsidP="00A51768">
      <w:pPr>
        <w:jc w:val="both"/>
        <w:rPr>
          <w:rFonts w:ascii="Aptos" w:hAnsi="Aptos" w:cs="Arial"/>
          <w:color w:val="000000"/>
        </w:rPr>
      </w:pPr>
      <w:r>
        <w:rPr>
          <w:rFonts w:ascii="Aptos" w:hAnsi="Aptos" w:cs="Arial"/>
        </w:rPr>
        <w:t>wegen des Verdachts der (gefährlichen) Körperverletzung</w:t>
      </w:r>
      <w:r>
        <w:rPr>
          <w:rFonts w:ascii="Aptos" w:hAnsi="Aptos" w:cs="Arial"/>
          <w:color w:val="000000"/>
        </w:rPr>
        <w:t xml:space="preserve"> und aller in Betracht kommenden Delikte, insbesondere unter Berücksichtigung des Merkmals „gemeingefährliches Mittel“, und stelle entsprechend Strafantrag.</w:t>
      </w:r>
    </w:p>
    <w:p w14:paraId="1E98D5B3" w14:textId="77777777" w:rsidR="00A51768" w:rsidRDefault="00A51768" w:rsidP="00A51768">
      <w:pPr>
        <w:jc w:val="both"/>
        <w:rPr>
          <w:rFonts w:ascii="Aptos" w:hAnsi="Aptos" w:cs="Arial"/>
          <w:color w:val="000000"/>
        </w:rPr>
      </w:pPr>
    </w:p>
    <w:p w14:paraId="684AEA33" w14:textId="77777777" w:rsidR="00A51768" w:rsidRDefault="00A51768" w:rsidP="00A51768">
      <w:pPr>
        <w:jc w:val="both"/>
        <w:rPr>
          <w:rFonts w:ascii="Aptos" w:hAnsi="Aptos" w:cs="Arial"/>
          <w:color w:val="000000"/>
        </w:rPr>
      </w:pPr>
    </w:p>
    <w:p w14:paraId="1D078CE2" w14:textId="77777777" w:rsidR="00A51768" w:rsidRDefault="00A51768" w:rsidP="00A51768">
      <w:pPr>
        <w:jc w:val="both"/>
        <w:rPr>
          <w:rFonts w:ascii="Aptos" w:hAnsi="Aptos" w:cs="Arial"/>
        </w:rPr>
      </w:pPr>
      <w:r>
        <w:rPr>
          <w:rFonts w:ascii="Aptos" w:hAnsi="Aptos" w:cs="Arial"/>
        </w:rPr>
        <w:t>Dem liegt folgender Sachverhalt zugrunde:</w:t>
      </w:r>
    </w:p>
    <w:p w14:paraId="45B47239" w14:textId="77777777" w:rsidR="00A51768" w:rsidRDefault="00A51768" w:rsidP="00A51768">
      <w:pPr>
        <w:jc w:val="both"/>
        <w:rPr>
          <w:rFonts w:ascii="Aptos" w:hAnsi="Aptos" w:cs="Arial"/>
        </w:rPr>
      </w:pPr>
    </w:p>
    <w:p w14:paraId="368ED06C" w14:textId="77777777" w:rsidR="00A51768" w:rsidRDefault="00A51768" w:rsidP="00A51768">
      <w:pPr>
        <w:jc w:val="both"/>
        <w:rPr>
          <w:rFonts w:ascii="Aptos" w:hAnsi="Aptos" w:cs="Arial"/>
          <w:color w:val="000000"/>
        </w:rPr>
      </w:pPr>
      <w:r>
        <w:rPr>
          <w:rFonts w:ascii="Aptos" w:hAnsi="Aptos" w:cs="Arial"/>
          <w:color w:val="000000"/>
        </w:rPr>
        <w:t>An folgenden Tagen _________________________________________________</w:t>
      </w:r>
    </w:p>
    <w:p w14:paraId="1FDE7F4D" w14:textId="77777777" w:rsidR="00A51768" w:rsidRDefault="00A51768" w:rsidP="00A51768">
      <w:pPr>
        <w:jc w:val="both"/>
        <w:rPr>
          <w:rFonts w:ascii="Aptos" w:hAnsi="Aptos" w:cs="Arial"/>
          <w:color w:val="000000"/>
        </w:rPr>
      </w:pPr>
      <w:r>
        <w:rPr>
          <w:rFonts w:ascii="Aptos" w:hAnsi="Aptos" w:cs="Arial"/>
          <w:color w:val="000000"/>
        </w:rPr>
        <w:t xml:space="preserve">hat mich </w:t>
      </w:r>
    </w:p>
    <w:p w14:paraId="35C66C10" w14:textId="77777777" w:rsidR="00A51768" w:rsidRDefault="00A51768" w:rsidP="00A51768">
      <w:pPr>
        <w:jc w:val="center"/>
        <w:rPr>
          <w:rFonts w:ascii="Aptos" w:hAnsi="Aptos" w:cs="Arial"/>
          <w:color w:val="000000"/>
        </w:rPr>
      </w:pPr>
      <w:r>
        <w:rPr>
          <w:rFonts w:ascii="Aptos" w:hAnsi="Aptos" w:cs="Arial"/>
          <w:color w:val="000000"/>
        </w:rPr>
        <w:t>______________________________________________________</w:t>
      </w:r>
    </w:p>
    <w:p w14:paraId="182C7968" w14:textId="77777777" w:rsidR="00A51768" w:rsidRDefault="00A51768" w:rsidP="00A51768">
      <w:pPr>
        <w:jc w:val="center"/>
        <w:rPr>
          <w:rFonts w:ascii="Aptos" w:hAnsi="Aptos" w:cs="Arial"/>
          <w:color w:val="000000"/>
          <w:sz w:val="20"/>
          <w:szCs w:val="20"/>
        </w:rPr>
      </w:pPr>
      <w:r>
        <w:rPr>
          <w:rFonts w:ascii="Aptos" w:hAnsi="Aptos" w:cs="Arial"/>
          <w:color w:val="000000"/>
          <w:sz w:val="20"/>
          <w:szCs w:val="20"/>
        </w:rPr>
        <w:t>Name des Impfarztes bzw. der impfenden Person</w:t>
      </w:r>
    </w:p>
    <w:p w14:paraId="7D3A4B37" w14:textId="77777777" w:rsidR="00A51768" w:rsidRDefault="00A51768" w:rsidP="00A51768">
      <w:pPr>
        <w:jc w:val="both"/>
        <w:rPr>
          <w:rFonts w:ascii="Aptos" w:hAnsi="Aptos" w:cs="Arial"/>
          <w:color w:val="000000"/>
        </w:rPr>
      </w:pPr>
    </w:p>
    <w:p w14:paraId="40648546" w14:textId="77777777" w:rsidR="00A51768" w:rsidRDefault="00A51768" w:rsidP="00A51768">
      <w:pPr>
        <w:jc w:val="both"/>
        <w:rPr>
          <w:rFonts w:ascii="Aptos" w:hAnsi="Aptos" w:cs="Arial"/>
          <w:color w:val="000000"/>
        </w:rPr>
      </w:pPr>
      <w:r>
        <w:rPr>
          <w:rFonts w:ascii="Aptos" w:hAnsi="Aptos" w:cs="Arial"/>
          <w:color w:val="000000"/>
        </w:rPr>
        <w:t>mit dem/den Impfstoff/en: ___________________________________________</w:t>
      </w:r>
    </w:p>
    <w:p w14:paraId="6B59B7DA" w14:textId="77777777" w:rsidR="00A51768" w:rsidRDefault="00A51768" w:rsidP="00A51768">
      <w:pPr>
        <w:jc w:val="both"/>
        <w:rPr>
          <w:rFonts w:ascii="Aptos" w:hAnsi="Aptos" w:cs="Arial"/>
          <w:color w:val="000000"/>
        </w:rPr>
      </w:pPr>
      <w:r>
        <w:rPr>
          <w:rFonts w:ascii="Aptos" w:hAnsi="Aptos" w:cs="Arial"/>
          <w:color w:val="000000"/>
        </w:rPr>
        <w:t>geimpft.</w:t>
      </w:r>
    </w:p>
    <w:p w14:paraId="6BEF15D6" w14:textId="77777777" w:rsidR="00A51768" w:rsidRDefault="00A51768" w:rsidP="00A51768">
      <w:pPr>
        <w:jc w:val="both"/>
        <w:rPr>
          <w:rFonts w:ascii="Aptos" w:hAnsi="Aptos" w:cs="Arial"/>
          <w:color w:val="000000"/>
        </w:rPr>
      </w:pPr>
    </w:p>
    <w:p w14:paraId="4E25A575" w14:textId="77777777" w:rsidR="00A51768" w:rsidRDefault="00A51768" w:rsidP="00A51768">
      <w:pPr>
        <w:jc w:val="both"/>
        <w:rPr>
          <w:rFonts w:ascii="Aptos" w:hAnsi="Aptos" w:cs="Arial"/>
          <w:color w:val="000000"/>
        </w:rPr>
      </w:pPr>
      <w:r>
        <w:rPr>
          <w:rFonts w:ascii="Aptos" w:hAnsi="Aptos" w:cs="Arial"/>
          <w:color w:val="000000"/>
        </w:rPr>
        <w:t xml:space="preserve">Der Arzt, auch der Impfarzt, ist für mich eine Vertrauensperson. Seinem Rat folge ich grundsätzlich. Politik und Ärzteverbände waren für die Impfung. Aber aufklären müssen hätte mich mein Arzt. Das ist nicht passiert. Jetzt stelle ich fest, dass es Risiken gegeben hat. Wenn mein Impfarzt diese nicht kannte, hätte er zumindest darauf hinweisen müssen, dass der Impfstoff nicht genügend erforscht ist. Ich wurde </w:t>
      </w:r>
      <w:r>
        <w:rPr>
          <w:rFonts w:ascii="Aptos" w:hAnsi="Aptos" w:cs="Arial"/>
          <w:b/>
          <w:bCs/>
          <w:color w:val="000000"/>
        </w:rPr>
        <w:t>nicht</w:t>
      </w:r>
      <w:r>
        <w:rPr>
          <w:rFonts w:ascii="Aptos" w:hAnsi="Aptos" w:cs="Arial"/>
          <w:color w:val="000000"/>
        </w:rPr>
        <w:t xml:space="preserve"> über Risiken aufgeklärt. Deswegen ist meine Einwilligung zur Impfung nicht rechtswirksam. </w:t>
      </w:r>
    </w:p>
    <w:p w14:paraId="154956F1" w14:textId="77777777" w:rsidR="00A51768" w:rsidRDefault="00A51768" w:rsidP="00A51768">
      <w:pPr>
        <w:jc w:val="both"/>
        <w:rPr>
          <w:rFonts w:ascii="Aptos" w:hAnsi="Aptos" w:cs="Arial"/>
          <w:color w:val="000000"/>
        </w:rPr>
      </w:pPr>
    </w:p>
    <w:p w14:paraId="3999226F" w14:textId="77777777" w:rsidR="00A51768" w:rsidRDefault="00A51768" w:rsidP="00A51768">
      <w:pPr>
        <w:jc w:val="both"/>
        <w:rPr>
          <w:rFonts w:ascii="Aptos" w:hAnsi="Aptos" w:cs="Arial"/>
          <w:color w:val="000000"/>
        </w:rPr>
      </w:pPr>
      <w:r>
        <w:rPr>
          <w:rFonts w:ascii="Aptos" w:hAnsi="Aptos" w:cs="Arial"/>
          <w:color w:val="000000"/>
        </w:rPr>
        <w:t xml:space="preserve">Das ist scheinbar schon lange bei den Juristen Stand der Diskussion. Schon im September 2021 lag das Buch von Beate Bahner vor, mit dem Titel „Corona-Impfung – Was Ärzte und Patienten unbedingt wissen sollten“. Jeder Arzt hatte seitdem also Zugang zu den darin veröffentlichten Informationen, etwa über die medizinischen Risiken und die juristische Einordnung der Impfung für Ärzte. Inzwischen ist auch in einer bekannten Juristenzeitschrift ein Artikel dazu erschienen. Die Autoren äußern sich eindeutig, dass jeder Arzt vor jeder Impfung hätte sinngemäß aufklären müssen: Ich weiß nicht, was ich da spritze, was da drin ist und wie es wirkt. (Rechtsanwalt Carlos A. Gebauer und Prof. Dr. Katrin </w:t>
      </w:r>
      <w:proofErr w:type="spellStart"/>
      <w:r>
        <w:rPr>
          <w:rFonts w:ascii="Aptos" w:hAnsi="Aptos" w:cs="Arial"/>
          <w:color w:val="000000"/>
        </w:rPr>
        <w:t>Gierhake</w:t>
      </w:r>
      <w:proofErr w:type="spellEnd"/>
      <w:r>
        <w:rPr>
          <w:rFonts w:ascii="Aptos" w:hAnsi="Aptos" w:cs="Arial"/>
          <w:color w:val="000000"/>
        </w:rPr>
        <w:t xml:space="preserve">, „Ärztliche Aufklärung bei Behandlungen mit bedingt zugelassenen mRNA-Impfarzneien“. Neue Juristische Wochenschrift 2023, 2231). Hätte man mir das damals so gesagt, hätte ich mich </w:t>
      </w:r>
      <w:r>
        <w:rPr>
          <w:rFonts w:ascii="Aptos" w:hAnsi="Aptos" w:cs="Arial"/>
          <w:b/>
          <w:bCs/>
          <w:color w:val="000000"/>
        </w:rPr>
        <w:t>nicht</w:t>
      </w:r>
      <w:r>
        <w:rPr>
          <w:rFonts w:ascii="Aptos" w:hAnsi="Aptos" w:cs="Arial"/>
          <w:color w:val="000000"/>
        </w:rPr>
        <w:t xml:space="preserve"> impfen lassen.</w:t>
      </w:r>
    </w:p>
    <w:p w14:paraId="42CACFB8" w14:textId="77777777" w:rsidR="00A51768" w:rsidRDefault="00A51768" w:rsidP="00A51768">
      <w:pPr>
        <w:jc w:val="both"/>
        <w:rPr>
          <w:rFonts w:ascii="Aptos" w:hAnsi="Aptos" w:cs="Arial"/>
          <w:color w:val="000000"/>
        </w:rPr>
      </w:pPr>
    </w:p>
    <w:p w14:paraId="798FA60C" w14:textId="77777777" w:rsidR="00A51768" w:rsidRDefault="00A51768" w:rsidP="00A51768">
      <w:pPr>
        <w:jc w:val="both"/>
        <w:rPr>
          <w:rFonts w:ascii="Aptos" w:hAnsi="Aptos" w:cs="Arial"/>
          <w:color w:val="000000"/>
        </w:rPr>
      </w:pPr>
      <w:r>
        <w:rPr>
          <w:rFonts w:ascii="Aptos" w:hAnsi="Aptos" w:cs="Arial"/>
          <w:color w:val="000000"/>
        </w:rPr>
        <w:lastRenderedPageBreak/>
        <w:t xml:space="preserve">Die Risiken der Impfung bestanden insbesondere in folgenden Sachverhalten, wie ich inzwischen erfahren habe: </w:t>
      </w:r>
    </w:p>
    <w:p w14:paraId="16E22342" w14:textId="77777777" w:rsidR="00A51768" w:rsidRDefault="00A51768" w:rsidP="00A51768">
      <w:pPr>
        <w:jc w:val="both"/>
        <w:rPr>
          <w:rFonts w:ascii="Aptos" w:hAnsi="Aptos" w:cs="Arial"/>
          <w:color w:val="000000"/>
        </w:rPr>
      </w:pPr>
    </w:p>
    <w:p w14:paraId="7C6F490E" w14:textId="77777777" w:rsidR="00A51768" w:rsidRDefault="00A51768" w:rsidP="00A51768">
      <w:pPr>
        <w:jc w:val="both"/>
        <w:rPr>
          <w:rFonts w:ascii="Aptos" w:hAnsi="Aptos" w:cs="Arial"/>
          <w:color w:val="000000"/>
        </w:rPr>
      </w:pPr>
      <w:r>
        <w:rPr>
          <w:rFonts w:ascii="Aptos" w:hAnsi="Aptos" w:cs="Arial"/>
          <w:color w:val="000000"/>
        </w:rPr>
        <w:t>Mit dem mRNA-Impfstoff wurde eine toxische Substanz in meinen Körper eingebracht, deren  Auswirkung abschließend noch nicht absehbar ist.</w:t>
      </w:r>
    </w:p>
    <w:p w14:paraId="5452931F" w14:textId="77777777" w:rsidR="00A51768" w:rsidRDefault="00A51768" w:rsidP="00A51768">
      <w:pPr>
        <w:jc w:val="both"/>
        <w:rPr>
          <w:rFonts w:ascii="Aptos" w:hAnsi="Aptos" w:cs="Arial"/>
          <w:color w:val="000000"/>
        </w:rPr>
      </w:pPr>
    </w:p>
    <w:p w14:paraId="7EE301F8" w14:textId="77777777" w:rsidR="00A51768" w:rsidRDefault="00A51768" w:rsidP="00A51768">
      <w:pPr>
        <w:jc w:val="both"/>
        <w:rPr>
          <w:rFonts w:ascii="Aptos" w:hAnsi="Aptos" w:cs="Arial"/>
          <w:color w:val="000000"/>
        </w:rPr>
      </w:pPr>
      <w:r>
        <w:rPr>
          <w:rFonts w:ascii="Aptos" w:hAnsi="Aptos" w:cs="Arial"/>
          <w:color w:val="000000"/>
        </w:rPr>
        <w:t>1. Der Impfstoff verbleibt nicht, wie von den Herstellern behauptet, an der Injektionsstelle, sondern gerät in den ganzen Körper.</w:t>
      </w:r>
    </w:p>
    <w:p w14:paraId="65CF9502" w14:textId="77777777" w:rsidR="00A51768" w:rsidRDefault="00A51768" w:rsidP="00A51768">
      <w:pPr>
        <w:jc w:val="both"/>
        <w:rPr>
          <w:rFonts w:ascii="Aptos" w:hAnsi="Aptos" w:cs="Arial"/>
          <w:color w:val="000000"/>
          <w:u w:val="single"/>
        </w:rPr>
      </w:pPr>
    </w:p>
    <w:p w14:paraId="679448C3" w14:textId="77777777" w:rsidR="00A51768" w:rsidRDefault="00A51768" w:rsidP="00A51768">
      <w:pPr>
        <w:jc w:val="both"/>
        <w:rPr>
          <w:rFonts w:ascii="Aptos" w:hAnsi="Aptos" w:cs="Arial"/>
          <w:color w:val="000000"/>
        </w:rPr>
      </w:pPr>
      <w:r>
        <w:rPr>
          <w:rFonts w:ascii="Aptos" w:hAnsi="Aptos" w:cs="Arial"/>
          <w:color w:val="000000"/>
          <w:u w:val="single"/>
        </w:rPr>
        <w:t>Beweis:</w:t>
      </w:r>
      <w:r>
        <w:rPr>
          <w:rFonts w:ascii="Aptos" w:hAnsi="Aptos" w:cs="Arial"/>
          <w:color w:val="000000"/>
        </w:rPr>
        <w:t xml:space="preserve"> Kirchner JO (2024) Geprüft und bestätigt: DNA-Verunreinigungen im mRNA-Impfstoff Comirnaty von BioNTech. ISBN-10: 3758312094.</w:t>
      </w:r>
    </w:p>
    <w:p w14:paraId="3EB85547" w14:textId="77777777" w:rsidR="00A51768" w:rsidRDefault="00A51768" w:rsidP="00A51768">
      <w:pPr>
        <w:ind w:left="1418" w:hanging="710"/>
        <w:jc w:val="both"/>
        <w:rPr>
          <w:rFonts w:ascii="Aptos" w:hAnsi="Aptos" w:cs="Arial"/>
          <w:color w:val="000000"/>
        </w:rPr>
      </w:pPr>
    </w:p>
    <w:p w14:paraId="40AC68F9" w14:textId="77777777" w:rsidR="00A51768" w:rsidRDefault="00A51768" w:rsidP="00A51768">
      <w:pPr>
        <w:jc w:val="both"/>
        <w:rPr>
          <w:rFonts w:ascii="Aptos" w:hAnsi="Aptos" w:cs="Arial"/>
          <w:color w:val="000000"/>
        </w:rPr>
      </w:pPr>
      <w:r>
        <w:rPr>
          <w:rFonts w:ascii="Aptos" w:hAnsi="Aptos" w:cs="Arial"/>
          <w:color w:val="000000"/>
        </w:rPr>
        <w:t xml:space="preserve">2. Die Fett-Bestandteile der Impfstoff-„Verpackung" sind hochgiftig und wurden zur Anwendung an Menschen nie zugelassen.  Wo sie  hingeraten, verursachen sie starke Entzündungen. Durch sie erzeugte Pneumonien können tödlich verlaufen. </w:t>
      </w:r>
    </w:p>
    <w:p w14:paraId="3143ECAD" w14:textId="77777777" w:rsidR="00A51768" w:rsidRDefault="00A51768" w:rsidP="00A51768">
      <w:pPr>
        <w:jc w:val="both"/>
        <w:rPr>
          <w:rFonts w:ascii="Aptos" w:hAnsi="Aptos" w:cs="Arial"/>
          <w:color w:val="000000"/>
        </w:rPr>
      </w:pPr>
    </w:p>
    <w:p w14:paraId="15DB88FC" w14:textId="77777777" w:rsidR="00A51768" w:rsidRPr="00424F86" w:rsidRDefault="00A51768" w:rsidP="00A51768">
      <w:pPr>
        <w:jc w:val="both"/>
        <w:rPr>
          <w:rFonts w:ascii="Aptos" w:hAnsi="Aptos" w:cs="Arial"/>
          <w:color w:val="000000"/>
          <w:lang w:val="en-US"/>
        </w:rPr>
      </w:pPr>
      <w:r>
        <w:rPr>
          <w:rFonts w:ascii="Aptos" w:hAnsi="Aptos" w:cs="Arial"/>
          <w:color w:val="000000"/>
          <w:u w:val="single"/>
        </w:rPr>
        <w:t>Beweis:</w:t>
      </w:r>
      <w:r>
        <w:rPr>
          <w:rFonts w:ascii="Aptos" w:hAnsi="Aptos" w:cs="Arial"/>
          <w:color w:val="000000"/>
        </w:rPr>
        <w:t xml:space="preserve"> </w:t>
      </w:r>
      <w:proofErr w:type="spellStart"/>
      <w:r>
        <w:rPr>
          <w:rFonts w:ascii="Aptos" w:hAnsi="Aptos" w:cs="Arial"/>
          <w:color w:val="000000"/>
        </w:rPr>
        <w:t>Ndeupen</w:t>
      </w:r>
      <w:proofErr w:type="spellEnd"/>
      <w:r>
        <w:rPr>
          <w:rFonts w:ascii="Aptos" w:hAnsi="Aptos" w:cs="Arial"/>
          <w:color w:val="000000"/>
        </w:rPr>
        <w:t xml:space="preserve"> S. et al. </w:t>
      </w:r>
      <w:r w:rsidRPr="00424F86">
        <w:rPr>
          <w:rFonts w:ascii="Aptos" w:hAnsi="Aptos" w:cs="Arial"/>
          <w:color w:val="000000"/>
          <w:lang w:val="en-US"/>
        </w:rPr>
        <w:t xml:space="preserve">(2021) The mRNA-LNP platform's lipid nanoparticle component used in preclinical vaccine studies is highly inflammatory. </w:t>
      </w:r>
      <w:proofErr w:type="spellStart"/>
      <w:r w:rsidRPr="00424F86">
        <w:rPr>
          <w:rFonts w:ascii="Aptos" w:hAnsi="Aptos" w:cs="Arial"/>
          <w:color w:val="000000"/>
          <w:lang w:val="en-US"/>
        </w:rPr>
        <w:t>iScience</w:t>
      </w:r>
      <w:proofErr w:type="spellEnd"/>
      <w:r w:rsidRPr="00424F86">
        <w:rPr>
          <w:rFonts w:ascii="Aptos" w:hAnsi="Aptos" w:cs="Arial"/>
          <w:color w:val="000000"/>
          <w:lang w:val="en-US"/>
        </w:rPr>
        <w:t xml:space="preserve"> 24:103479.</w:t>
      </w:r>
    </w:p>
    <w:p w14:paraId="2222E0C0" w14:textId="77777777" w:rsidR="00A51768" w:rsidRPr="00424F86" w:rsidRDefault="00A51768" w:rsidP="00A51768">
      <w:pPr>
        <w:jc w:val="both"/>
        <w:rPr>
          <w:rFonts w:ascii="Aptos" w:hAnsi="Aptos" w:cs="Arial"/>
          <w:color w:val="000000"/>
          <w:lang w:val="en-US"/>
        </w:rPr>
      </w:pPr>
      <w:r w:rsidRPr="00424F86">
        <w:rPr>
          <w:rFonts w:ascii="Aptos" w:hAnsi="Aptos" w:cs="Arial"/>
          <w:color w:val="000000"/>
          <w:lang w:val="en-US"/>
        </w:rPr>
        <w:t>https://www.cell.com/iscience/fulltext/S2589-0042(21)01450-4?_returnURL=https%3A%2F%2Flinkinghub.elsevier.com%2Fretrieve%2Fpii%2FS2589004221014504%3Fshowall%3Dtrue</w:t>
      </w:r>
    </w:p>
    <w:p w14:paraId="2F14D7E1" w14:textId="77777777" w:rsidR="00A51768" w:rsidRPr="00424F86" w:rsidRDefault="00A51768" w:rsidP="00A51768">
      <w:pPr>
        <w:jc w:val="both"/>
        <w:rPr>
          <w:rFonts w:ascii="Aptos" w:hAnsi="Aptos" w:cs="Arial"/>
          <w:color w:val="000000"/>
          <w:lang w:val="en-US"/>
        </w:rPr>
      </w:pPr>
    </w:p>
    <w:p w14:paraId="4DAA9A12" w14:textId="77777777" w:rsidR="00A51768" w:rsidRPr="00424F86" w:rsidRDefault="00A51768" w:rsidP="00A51768">
      <w:pPr>
        <w:jc w:val="both"/>
        <w:rPr>
          <w:rFonts w:ascii="Aptos" w:hAnsi="Aptos" w:cs="Arial"/>
          <w:color w:val="000000"/>
          <w:lang w:val="en-US"/>
        </w:rPr>
      </w:pPr>
      <w:proofErr w:type="spellStart"/>
      <w:r w:rsidRPr="00424F86">
        <w:rPr>
          <w:rFonts w:ascii="Aptos" w:hAnsi="Aptos" w:cs="Arial"/>
          <w:color w:val="000000"/>
          <w:u w:val="single"/>
          <w:lang w:val="en-US"/>
        </w:rPr>
        <w:t>Beweis</w:t>
      </w:r>
      <w:proofErr w:type="spellEnd"/>
      <w:r w:rsidRPr="00424F86">
        <w:rPr>
          <w:rFonts w:ascii="Aptos" w:hAnsi="Aptos" w:cs="Arial"/>
          <w:color w:val="000000"/>
          <w:u w:val="single"/>
          <w:lang w:val="en-US"/>
        </w:rPr>
        <w:t>:</w:t>
      </w:r>
      <w:r w:rsidRPr="00424F86">
        <w:rPr>
          <w:rFonts w:ascii="Aptos" w:hAnsi="Aptos"/>
          <w:lang w:val="en-US"/>
        </w:rPr>
        <w:t xml:space="preserve"> </w:t>
      </w:r>
      <w:r w:rsidRPr="00424F86">
        <w:rPr>
          <w:rFonts w:ascii="Aptos" w:hAnsi="Aptos" w:cs="Arial"/>
          <w:color w:val="000000"/>
          <w:lang w:val="en-US"/>
        </w:rPr>
        <w:t>Segalla G (2023) Chemical-physical criticality and toxicological potential of lipid nanomaterials contained in a COVID-19 mRNA vaccine. International Journal of Vaccine Theory, Practice, and Research 3 (1), 787-817. https://doi.org/10.56098/ijvtpr.v3i1.68</w:t>
      </w:r>
    </w:p>
    <w:p w14:paraId="24E57B62" w14:textId="77777777" w:rsidR="00A51768" w:rsidRPr="00424F86" w:rsidRDefault="00A51768" w:rsidP="00A51768">
      <w:pPr>
        <w:jc w:val="both"/>
        <w:rPr>
          <w:rFonts w:ascii="Aptos" w:hAnsi="Aptos" w:cs="Arial"/>
          <w:color w:val="000000"/>
          <w:lang w:val="en-US"/>
        </w:rPr>
      </w:pPr>
    </w:p>
    <w:p w14:paraId="12BB2616" w14:textId="77777777" w:rsidR="00A51768" w:rsidRDefault="00A51768" w:rsidP="00A51768">
      <w:pPr>
        <w:jc w:val="both"/>
        <w:rPr>
          <w:rFonts w:ascii="Aptos" w:hAnsi="Aptos" w:cs="Arial"/>
          <w:color w:val="000000"/>
        </w:rPr>
      </w:pPr>
      <w:r>
        <w:rPr>
          <w:rFonts w:ascii="Aptos" w:hAnsi="Aptos" w:cs="Arial"/>
          <w:color w:val="000000"/>
        </w:rPr>
        <w:t xml:space="preserve">3. Die Impfstoffe sind hochgradig mit Bakterien-DNA verunreinigt. Aufgrund ihrer </w:t>
      </w:r>
    </w:p>
    <w:p w14:paraId="30B0D869" w14:textId="77777777" w:rsidR="00A51768" w:rsidRDefault="00A51768" w:rsidP="00A51768">
      <w:pPr>
        <w:jc w:val="both"/>
        <w:rPr>
          <w:rFonts w:ascii="Aptos" w:hAnsi="Aptos" w:cs="Arial"/>
          <w:color w:val="000000"/>
        </w:rPr>
      </w:pPr>
      <w:r>
        <w:rPr>
          <w:rFonts w:ascii="Aptos" w:hAnsi="Aptos" w:cs="Arial"/>
          <w:color w:val="000000"/>
        </w:rPr>
        <w:t xml:space="preserve">besonderen „Verpackung“ ist die Aufnahme der fremden DNA und damit die </w:t>
      </w:r>
    </w:p>
    <w:p w14:paraId="0B6AF363" w14:textId="77777777" w:rsidR="00A51768" w:rsidRDefault="00A51768" w:rsidP="00A51768">
      <w:pPr>
        <w:jc w:val="both"/>
        <w:rPr>
          <w:rFonts w:ascii="Aptos" w:hAnsi="Aptos" w:cs="Arial"/>
          <w:color w:val="000000"/>
        </w:rPr>
      </w:pPr>
      <w:r>
        <w:rPr>
          <w:rFonts w:ascii="Aptos" w:hAnsi="Aptos" w:cs="Arial"/>
          <w:color w:val="000000"/>
        </w:rPr>
        <w:t>Genveränderung von Zellen im menschlichen Körper unvermeidlich.</w:t>
      </w:r>
    </w:p>
    <w:p w14:paraId="2107DC22" w14:textId="77777777" w:rsidR="00A51768" w:rsidRDefault="00A51768" w:rsidP="00A51768">
      <w:pPr>
        <w:jc w:val="both"/>
        <w:rPr>
          <w:rFonts w:ascii="Aptos" w:hAnsi="Aptos" w:cs="Arial"/>
          <w:color w:val="000000"/>
          <w:u w:val="single"/>
        </w:rPr>
      </w:pPr>
    </w:p>
    <w:p w14:paraId="4594BC8C" w14:textId="77777777" w:rsidR="00A51768" w:rsidRDefault="00A51768" w:rsidP="00A51768">
      <w:pPr>
        <w:jc w:val="both"/>
        <w:rPr>
          <w:rFonts w:ascii="Aptos" w:hAnsi="Aptos" w:cs="Arial"/>
          <w:color w:val="000000"/>
        </w:rPr>
      </w:pPr>
      <w:proofErr w:type="spellStart"/>
      <w:r w:rsidRPr="00424F86">
        <w:rPr>
          <w:rFonts w:ascii="Aptos" w:hAnsi="Aptos" w:cs="Arial"/>
          <w:color w:val="000000"/>
          <w:u w:val="single"/>
          <w:lang w:val="en-US"/>
        </w:rPr>
        <w:t>Beweis</w:t>
      </w:r>
      <w:proofErr w:type="spellEnd"/>
      <w:r w:rsidRPr="00424F86">
        <w:rPr>
          <w:rFonts w:ascii="Aptos" w:hAnsi="Aptos" w:cs="Arial"/>
          <w:color w:val="000000"/>
          <w:u w:val="single"/>
          <w:lang w:val="en-US"/>
        </w:rPr>
        <w:t>:</w:t>
      </w:r>
      <w:r w:rsidRPr="00424F86">
        <w:rPr>
          <w:rFonts w:ascii="Aptos" w:hAnsi="Aptos" w:cs="Arial"/>
          <w:color w:val="000000"/>
          <w:lang w:val="en-US"/>
        </w:rPr>
        <w:t xml:space="preserve"> König B und Kirchner JO (2024) Methodological Considerations Regarding the Quantification of DNA Impurities in the COVID-19 mRNA Vaccine Comirnaty®. </w:t>
      </w:r>
      <w:r>
        <w:rPr>
          <w:rFonts w:ascii="Aptos" w:hAnsi="Aptos" w:cs="Arial"/>
          <w:color w:val="000000"/>
        </w:rPr>
        <w:t xml:space="preserve">Methods </w:t>
      </w:r>
      <w:proofErr w:type="spellStart"/>
      <w:r>
        <w:rPr>
          <w:rFonts w:ascii="Aptos" w:hAnsi="Aptos" w:cs="Arial"/>
          <w:color w:val="000000"/>
        </w:rPr>
        <w:t>Protoc</w:t>
      </w:r>
      <w:proofErr w:type="spellEnd"/>
      <w:r>
        <w:rPr>
          <w:rFonts w:ascii="Aptos" w:hAnsi="Aptos" w:cs="Arial"/>
          <w:color w:val="000000"/>
        </w:rPr>
        <w:t>. 7, 41. https://doi.org/10.3390/mps7030041</w:t>
      </w:r>
    </w:p>
    <w:p w14:paraId="76122989" w14:textId="77777777" w:rsidR="00A51768" w:rsidRDefault="00A51768" w:rsidP="00A51768">
      <w:pPr>
        <w:jc w:val="both"/>
        <w:rPr>
          <w:rFonts w:ascii="Aptos" w:hAnsi="Aptos" w:cs="Arial"/>
          <w:color w:val="000000"/>
        </w:rPr>
      </w:pPr>
    </w:p>
    <w:p w14:paraId="31D07571" w14:textId="77777777" w:rsidR="00A51768" w:rsidRDefault="00A51768" w:rsidP="00A51768">
      <w:pPr>
        <w:jc w:val="both"/>
        <w:rPr>
          <w:rFonts w:ascii="Aptos" w:hAnsi="Aptos" w:cs="Arial"/>
          <w:color w:val="000000"/>
        </w:rPr>
      </w:pPr>
      <w:r>
        <w:rPr>
          <w:rFonts w:ascii="Aptos" w:hAnsi="Aptos" w:cs="Arial"/>
          <w:color w:val="000000"/>
        </w:rPr>
        <w:t xml:space="preserve">4. Die RNA der </w:t>
      </w:r>
      <w:proofErr w:type="spellStart"/>
      <w:r>
        <w:rPr>
          <w:rFonts w:ascii="Aptos" w:hAnsi="Aptos" w:cs="Arial"/>
          <w:color w:val="000000"/>
        </w:rPr>
        <w:t>lmpfstoffe</w:t>
      </w:r>
      <w:proofErr w:type="spellEnd"/>
      <w:r>
        <w:rPr>
          <w:rFonts w:ascii="Aptos" w:hAnsi="Aptos" w:cs="Arial"/>
          <w:color w:val="000000"/>
        </w:rPr>
        <w:t xml:space="preserve"> ist künstlich modifiziert und wird deswegen immer wieder </w:t>
      </w:r>
    </w:p>
    <w:p w14:paraId="25362F84" w14:textId="77777777" w:rsidR="00A51768" w:rsidRDefault="00A51768" w:rsidP="00A51768">
      <w:pPr>
        <w:jc w:val="both"/>
        <w:rPr>
          <w:rFonts w:ascii="Aptos" w:hAnsi="Aptos" w:cs="Arial"/>
          <w:color w:val="000000"/>
        </w:rPr>
      </w:pPr>
      <w:r>
        <w:rPr>
          <w:rFonts w:ascii="Aptos" w:hAnsi="Aptos" w:cs="Arial"/>
          <w:color w:val="000000"/>
        </w:rPr>
        <w:t>fehlerhaft abgelesen. Dies führt zur Bildung von völlig fremdartigen, naturfernen und gefahrvollen Eiweißen im menschlichen Körper.</w:t>
      </w:r>
      <w:r>
        <w:rPr>
          <w:rFonts w:ascii="Aptos" w:hAnsi="Aptos"/>
        </w:rPr>
        <w:t xml:space="preserve"> </w:t>
      </w:r>
    </w:p>
    <w:p w14:paraId="2AC9AF06" w14:textId="77777777" w:rsidR="00A51768" w:rsidRDefault="00A51768" w:rsidP="00A51768">
      <w:pPr>
        <w:jc w:val="both"/>
        <w:rPr>
          <w:rFonts w:ascii="Aptos" w:hAnsi="Aptos" w:cs="Arial"/>
          <w:color w:val="000000"/>
          <w:u w:val="single"/>
        </w:rPr>
      </w:pPr>
    </w:p>
    <w:p w14:paraId="164C4B61" w14:textId="77777777" w:rsidR="00A51768" w:rsidRDefault="00A51768" w:rsidP="00A51768">
      <w:pPr>
        <w:jc w:val="both"/>
        <w:rPr>
          <w:rFonts w:ascii="Aptos" w:hAnsi="Aptos" w:cs="Arial"/>
          <w:color w:val="000000"/>
        </w:rPr>
      </w:pPr>
      <w:r>
        <w:rPr>
          <w:rFonts w:ascii="Aptos" w:hAnsi="Aptos" w:cs="Arial"/>
          <w:color w:val="000000"/>
          <w:u w:val="single"/>
        </w:rPr>
        <w:t>Beweis:</w:t>
      </w:r>
      <w:r>
        <w:rPr>
          <w:rFonts w:ascii="Aptos" w:hAnsi="Aptos" w:cs="Arial"/>
          <w:color w:val="000000"/>
        </w:rPr>
        <w:t xml:space="preserve"> Mulroney TE et al. </w:t>
      </w:r>
      <w:r w:rsidRPr="00610B99">
        <w:rPr>
          <w:rFonts w:ascii="Aptos" w:hAnsi="Aptos" w:cs="Arial"/>
          <w:color w:val="000000"/>
          <w:lang w:val="en-US"/>
        </w:rPr>
        <w:t xml:space="preserve">(2024) N1-methylpseudouridylation of mRNA causes +1 ribosomal frameshifting. </w:t>
      </w:r>
      <w:r>
        <w:rPr>
          <w:rFonts w:ascii="Aptos" w:hAnsi="Aptos" w:cs="Arial"/>
          <w:color w:val="000000"/>
        </w:rPr>
        <w:t xml:space="preserve">Nature 625, 189–194. https://doi.org/10.1038/s41586-023-06800-3 </w:t>
      </w:r>
    </w:p>
    <w:p w14:paraId="07F485AF" w14:textId="77777777" w:rsidR="00A51768" w:rsidRDefault="00A51768" w:rsidP="00A51768">
      <w:pPr>
        <w:jc w:val="both"/>
        <w:rPr>
          <w:rFonts w:ascii="Aptos" w:hAnsi="Aptos" w:cs="Arial"/>
          <w:color w:val="000000"/>
        </w:rPr>
      </w:pPr>
    </w:p>
    <w:p w14:paraId="4AB93BF4" w14:textId="77777777" w:rsidR="00A51768" w:rsidRDefault="00A51768" w:rsidP="00A51768">
      <w:pPr>
        <w:jc w:val="both"/>
        <w:rPr>
          <w:rFonts w:ascii="Aptos" w:hAnsi="Aptos" w:cs="Arial"/>
          <w:color w:val="000000"/>
        </w:rPr>
      </w:pPr>
      <w:r>
        <w:rPr>
          <w:rFonts w:ascii="Aptos" w:hAnsi="Aptos" w:cs="Arial"/>
          <w:color w:val="000000"/>
        </w:rPr>
        <w:t xml:space="preserve">5. Die Impfung kann häufig eine Herzmuskelentzündung verursachen. Diese Erkrankung hat eine dauerhafte Herabsetzung der Herzleistung zur Folge und ist lebensverkürzend. </w:t>
      </w:r>
    </w:p>
    <w:p w14:paraId="3F3DCE04" w14:textId="77777777" w:rsidR="00A51768" w:rsidRDefault="00A51768" w:rsidP="00A51768">
      <w:pPr>
        <w:jc w:val="both"/>
        <w:rPr>
          <w:rFonts w:ascii="Aptos" w:hAnsi="Aptos" w:cs="Arial"/>
          <w:color w:val="000000"/>
          <w:u w:val="single"/>
        </w:rPr>
      </w:pPr>
    </w:p>
    <w:p w14:paraId="41154924" w14:textId="77777777" w:rsidR="00A51768" w:rsidRPr="00424F86" w:rsidRDefault="00A51768" w:rsidP="00A51768">
      <w:pPr>
        <w:jc w:val="both"/>
        <w:rPr>
          <w:rFonts w:ascii="Aptos" w:hAnsi="Aptos" w:cs="Arial"/>
          <w:color w:val="000000"/>
          <w:lang w:val="en-US"/>
        </w:rPr>
      </w:pPr>
      <w:proofErr w:type="spellStart"/>
      <w:r w:rsidRPr="00610B99">
        <w:rPr>
          <w:rFonts w:ascii="Aptos" w:hAnsi="Aptos" w:cs="Arial"/>
          <w:color w:val="000000"/>
          <w:u w:val="single"/>
          <w:lang w:val="en-US"/>
        </w:rPr>
        <w:t>Beweis</w:t>
      </w:r>
      <w:proofErr w:type="spellEnd"/>
      <w:r w:rsidRPr="00610B99">
        <w:rPr>
          <w:rFonts w:ascii="Aptos" w:hAnsi="Aptos" w:cs="Arial"/>
          <w:color w:val="000000"/>
          <w:u w:val="single"/>
          <w:lang w:val="en-US"/>
        </w:rPr>
        <w:t>:</w:t>
      </w:r>
      <w:r w:rsidRPr="00610B99">
        <w:rPr>
          <w:rFonts w:ascii="Aptos" w:hAnsi="Aptos" w:cs="Arial"/>
          <w:color w:val="000000"/>
          <w:lang w:val="en-US"/>
        </w:rPr>
        <w:t xml:space="preserve"> </w:t>
      </w:r>
      <w:proofErr w:type="spellStart"/>
      <w:r w:rsidRPr="00610B99">
        <w:rPr>
          <w:rFonts w:ascii="Aptos" w:hAnsi="Aptos" w:cs="Arial"/>
          <w:color w:val="000000"/>
          <w:lang w:val="en-US"/>
        </w:rPr>
        <w:t>Mansanguan</w:t>
      </w:r>
      <w:proofErr w:type="spellEnd"/>
      <w:r w:rsidRPr="00610B99">
        <w:rPr>
          <w:rFonts w:ascii="Aptos" w:hAnsi="Aptos" w:cs="Arial"/>
          <w:color w:val="000000"/>
          <w:lang w:val="en-US"/>
        </w:rPr>
        <w:t xml:space="preserve"> S et al. (2022) Cardiovascular Manifestation of the BNT162b2 mRNA COVID-19 Vaccine in Adolescents. Trop. Med. </w:t>
      </w:r>
      <w:proofErr w:type="spellStart"/>
      <w:r>
        <w:rPr>
          <w:rFonts w:ascii="Aptos" w:hAnsi="Aptos" w:cs="Arial"/>
          <w:color w:val="000000"/>
        </w:rPr>
        <w:t>Infect</w:t>
      </w:r>
      <w:proofErr w:type="spellEnd"/>
      <w:r>
        <w:rPr>
          <w:rFonts w:ascii="Aptos" w:hAnsi="Aptos" w:cs="Arial"/>
          <w:color w:val="000000"/>
        </w:rPr>
        <w:t xml:space="preserve">. </w:t>
      </w:r>
      <w:r w:rsidRPr="00424F86">
        <w:rPr>
          <w:rFonts w:ascii="Aptos" w:hAnsi="Aptos" w:cs="Arial"/>
          <w:color w:val="000000"/>
          <w:lang w:val="en-US"/>
        </w:rPr>
        <w:t>7, 196. https://doi.org/10.3390/tropicalmed7080196</w:t>
      </w:r>
    </w:p>
    <w:p w14:paraId="68A3D42D" w14:textId="77777777" w:rsidR="00A51768" w:rsidRPr="00424F86" w:rsidRDefault="00A51768" w:rsidP="00A51768">
      <w:pPr>
        <w:jc w:val="both"/>
        <w:rPr>
          <w:rFonts w:ascii="Aptos" w:hAnsi="Aptos" w:cs="Arial"/>
          <w:color w:val="000000"/>
          <w:lang w:val="en-US"/>
        </w:rPr>
      </w:pPr>
    </w:p>
    <w:p w14:paraId="700FA3FA" w14:textId="77777777" w:rsidR="00A51768" w:rsidRDefault="00A51768" w:rsidP="00A51768">
      <w:pPr>
        <w:jc w:val="both"/>
        <w:rPr>
          <w:rFonts w:ascii="Aptos" w:hAnsi="Aptos" w:cs="Arial"/>
          <w:color w:val="000000"/>
        </w:rPr>
      </w:pPr>
      <w:proofErr w:type="spellStart"/>
      <w:r w:rsidRPr="00424F86">
        <w:rPr>
          <w:rFonts w:ascii="Aptos" w:hAnsi="Aptos" w:cs="Arial"/>
          <w:color w:val="000000"/>
          <w:u w:val="single"/>
          <w:lang w:val="en-US"/>
        </w:rPr>
        <w:lastRenderedPageBreak/>
        <w:t>Beweis</w:t>
      </w:r>
      <w:proofErr w:type="spellEnd"/>
      <w:r w:rsidRPr="00424F86">
        <w:rPr>
          <w:rFonts w:ascii="Aptos" w:hAnsi="Aptos" w:cs="Arial"/>
          <w:color w:val="000000"/>
          <w:u w:val="single"/>
          <w:lang w:val="en-US"/>
        </w:rPr>
        <w:t>:</w:t>
      </w:r>
      <w:r w:rsidRPr="00424F86">
        <w:rPr>
          <w:rFonts w:ascii="Aptos" w:hAnsi="Aptos" w:cs="Arial"/>
          <w:color w:val="000000"/>
          <w:lang w:val="en-US"/>
        </w:rPr>
        <w:t xml:space="preserve"> National Academies of Sciences, Engineering, and Medicine (2024) Evidence Review of the adverse effects of COVID-19 vaccination and intramuscular vaccine administration. </w:t>
      </w:r>
      <w:r>
        <w:rPr>
          <w:rFonts w:ascii="Aptos" w:hAnsi="Aptos" w:cs="Arial"/>
          <w:color w:val="000000"/>
        </w:rPr>
        <w:t xml:space="preserve">Washington DC: The National </w:t>
      </w:r>
      <w:proofErr w:type="spellStart"/>
      <w:r>
        <w:rPr>
          <w:rFonts w:ascii="Aptos" w:hAnsi="Aptos" w:cs="Arial"/>
          <w:color w:val="000000"/>
        </w:rPr>
        <w:t>Academies</w:t>
      </w:r>
      <w:proofErr w:type="spellEnd"/>
      <w:r>
        <w:rPr>
          <w:rFonts w:ascii="Aptos" w:hAnsi="Aptos" w:cs="Arial"/>
          <w:color w:val="000000"/>
        </w:rPr>
        <w:t xml:space="preserve"> Press. https://doi.org/10.17226/27746</w:t>
      </w:r>
    </w:p>
    <w:p w14:paraId="2312A1A9" w14:textId="77777777" w:rsidR="00A51768" w:rsidRDefault="00A51768" w:rsidP="00A51768">
      <w:pPr>
        <w:jc w:val="both"/>
        <w:rPr>
          <w:rFonts w:ascii="Aptos" w:hAnsi="Aptos" w:cs="Arial"/>
          <w:color w:val="000000"/>
        </w:rPr>
      </w:pPr>
    </w:p>
    <w:p w14:paraId="1CD0A358" w14:textId="77777777" w:rsidR="00A51768" w:rsidRDefault="00A51768" w:rsidP="00A51768">
      <w:pPr>
        <w:jc w:val="both"/>
        <w:rPr>
          <w:rFonts w:ascii="Aptos" w:hAnsi="Aptos" w:cs="Arial"/>
          <w:color w:val="000000"/>
        </w:rPr>
      </w:pPr>
      <w:r>
        <w:rPr>
          <w:rFonts w:ascii="Aptos" w:hAnsi="Aptos" w:cs="Arial"/>
          <w:color w:val="000000"/>
        </w:rPr>
        <w:t>Zudem ist der öffentlich behauptete Nutzen bzw. eine öffentlich behauptete Wirksamkeit aller Gen-basierten Impfstoffe zu Beginn der Impfkampagne, nicht belegt. Das war den Entscheidern in Politik und Behörden auch bekannt und bewusst. So heißt es in der Krisenstabssitzung des RKI vom 27.04.2020 (S. 8/ S. 725 der RKI-Protokolle): „Relevante Daten [zur Impfung] werden erst Post-Marketing erhoben“</w:t>
      </w:r>
    </w:p>
    <w:p w14:paraId="0B171D5F" w14:textId="77777777" w:rsidR="00A51768" w:rsidRDefault="00A51768" w:rsidP="00A51768">
      <w:pPr>
        <w:jc w:val="both"/>
        <w:rPr>
          <w:rFonts w:ascii="Aptos" w:hAnsi="Aptos" w:cs="Arial"/>
          <w:color w:val="000000"/>
        </w:rPr>
      </w:pPr>
    </w:p>
    <w:p w14:paraId="10CE740C" w14:textId="77777777" w:rsidR="00A51768" w:rsidRDefault="00A51768" w:rsidP="00A51768">
      <w:pPr>
        <w:jc w:val="both"/>
        <w:rPr>
          <w:rFonts w:ascii="Aptos" w:hAnsi="Aptos" w:cs="Arial"/>
          <w:color w:val="000000"/>
        </w:rPr>
      </w:pPr>
      <w:r>
        <w:rPr>
          <w:rFonts w:ascii="Aptos" w:hAnsi="Aptos" w:cs="Arial"/>
          <w:color w:val="000000"/>
        </w:rPr>
        <w:t xml:space="preserve">Bedingt durch die Informationen, die zwischenzeitlich an die Öffentlichkeit gelangt sind, wie z.  B. die RKI-Protokolle, musste ich erkennen, dass ich unwissentlich und ohne es zu wollen Teil eines Großversuchs und Experiments am Menschen geworden bin. Wenn ich über das alles informiert und aufgeklärt worden wäre, hätte ich mich nicht impfen lassen. </w:t>
      </w:r>
    </w:p>
    <w:p w14:paraId="5B469C1E" w14:textId="77777777" w:rsidR="00A51768" w:rsidRDefault="00A51768" w:rsidP="00A51768">
      <w:pPr>
        <w:jc w:val="both"/>
        <w:rPr>
          <w:rFonts w:ascii="Aptos" w:hAnsi="Aptos" w:cs="Arial"/>
          <w:color w:val="000000"/>
        </w:rPr>
      </w:pPr>
    </w:p>
    <w:p w14:paraId="3EE007BC" w14:textId="77777777" w:rsidR="00A51768" w:rsidRDefault="00A51768" w:rsidP="00A51768">
      <w:pPr>
        <w:jc w:val="both"/>
        <w:rPr>
          <w:rFonts w:ascii="Aptos" w:hAnsi="Aptos" w:cs="Arial"/>
          <w:color w:val="000000"/>
        </w:rPr>
      </w:pPr>
      <w:r>
        <w:rPr>
          <w:rFonts w:ascii="Aptos" w:hAnsi="Aptos" w:cs="Arial"/>
          <w:color w:val="000000"/>
        </w:rPr>
        <w:t>Dies gilt im gleichen Maße für die Vektor-Impfstoffe. Bereits in den RKI-Protokollen vom März 2021 steht dokumentiert, dass eine alarmierende Anzahl von tödlich verlaufenden Sinus-Venenthrombosen nach der Verabreichung des Astra-</w:t>
      </w:r>
      <w:proofErr w:type="spellStart"/>
      <w:r>
        <w:rPr>
          <w:rFonts w:ascii="Aptos" w:hAnsi="Aptos" w:cs="Arial"/>
          <w:color w:val="000000"/>
        </w:rPr>
        <w:t>Zeneca</w:t>
      </w:r>
      <w:proofErr w:type="spellEnd"/>
      <w:r>
        <w:rPr>
          <w:rFonts w:ascii="Aptos" w:hAnsi="Aptos" w:cs="Arial"/>
          <w:color w:val="000000"/>
        </w:rPr>
        <w:t>-Impfstoffes aufgetreten sind. Während in anderen Ländern der Impfstoff mit der Zeit verboten wurde, hielt Deutschland an der Impfung fest. Mittlerweile ist allgemein bekannt, dass alle Impfstoffe Gefäßentzündungen, Thrombosen und Organschäden verursachen.</w:t>
      </w:r>
    </w:p>
    <w:p w14:paraId="33959329" w14:textId="77777777" w:rsidR="00A51768" w:rsidRDefault="00A51768" w:rsidP="00A51768">
      <w:pPr>
        <w:jc w:val="both"/>
        <w:rPr>
          <w:rFonts w:ascii="Aptos" w:hAnsi="Aptos" w:cs="Arial"/>
          <w:color w:val="000000"/>
        </w:rPr>
      </w:pPr>
    </w:p>
    <w:p w14:paraId="0C3B59E6" w14:textId="77777777" w:rsidR="00A51768" w:rsidRDefault="00A51768" w:rsidP="00A51768">
      <w:pPr>
        <w:jc w:val="both"/>
        <w:rPr>
          <w:rFonts w:ascii="Aptos" w:hAnsi="Aptos" w:cs="Arial"/>
          <w:color w:val="000000"/>
        </w:rPr>
      </w:pPr>
      <w:r>
        <w:rPr>
          <w:rFonts w:ascii="Aptos" w:hAnsi="Aptos" w:cs="Arial"/>
          <w:color w:val="000000"/>
        </w:rPr>
        <w:t>Offenbar wusste mein Impfarzt selbst nicht Bescheid, was genau er da spritzt. Denn sonst hätte er mir sagen müssen, welche Risiken es gibt.</w:t>
      </w:r>
    </w:p>
    <w:p w14:paraId="5BF48367" w14:textId="77777777" w:rsidR="00A51768" w:rsidRDefault="00A51768" w:rsidP="00A51768">
      <w:pPr>
        <w:jc w:val="both"/>
        <w:rPr>
          <w:rFonts w:ascii="Aptos" w:hAnsi="Aptos" w:cs="Arial"/>
          <w:color w:val="000000"/>
        </w:rPr>
      </w:pPr>
    </w:p>
    <w:p w14:paraId="4E61DEC2" w14:textId="77777777" w:rsidR="00A51768" w:rsidRDefault="00A51768" w:rsidP="00A51768">
      <w:pPr>
        <w:jc w:val="both"/>
        <w:rPr>
          <w:rFonts w:ascii="Aptos" w:hAnsi="Aptos" w:cs="Arial"/>
          <w:color w:val="000000"/>
        </w:rPr>
      </w:pPr>
      <w:r>
        <w:rPr>
          <w:rFonts w:ascii="Aptos" w:hAnsi="Aptos" w:cs="Arial"/>
          <w:color w:val="000000"/>
        </w:rPr>
        <w:t>Ich selbst habe jetzt, nach der Impfung, folgende gesundheitliche Probleme, die meiner Auffassung nach auf die Impfung zurückzuführen sind:</w:t>
      </w:r>
    </w:p>
    <w:p w14:paraId="1BAB983D" w14:textId="77777777" w:rsidR="00A51768" w:rsidRDefault="00A51768" w:rsidP="00A51768">
      <w:pPr>
        <w:jc w:val="center"/>
        <w:rPr>
          <w:rFonts w:ascii="Aptos" w:hAnsi="Aptos" w:cs="Arial"/>
          <w:color w:val="000000"/>
        </w:rPr>
      </w:pPr>
    </w:p>
    <w:p w14:paraId="20FC14E2" w14:textId="77777777" w:rsidR="00A51768" w:rsidRDefault="00A51768" w:rsidP="00A51768">
      <w:pPr>
        <w:jc w:val="center"/>
        <w:rPr>
          <w:rFonts w:ascii="Aptos" w:hAnsi="Aptos" w:cs="Arial"/>
          <w:color w:val="000000"/>
        </w:rPr>
      </w:pPr>
      <w:r>
        <w:rPr>
          <w:rFonts w:ascii="Aptos" w:hAnsi="Aptos" w:cs="Arial"/>
          <w:color w:val="000000"/>
        </w:rPr>
        <w:t>___________________________________________</w:t>
      </w:r>
    </w:p>
    <w:p w14:paraId="01B9E8D7" w14:textId="77777777" w:rsidR="00A51768" w:rsidRDefault="00A51768" w:rsidP="00A51768">
      <w:pPr>
        <w:jc w:val="center"/>
        <w:rPr>
          <w:rFonts w:ascii="Aptos" w:hAnsi="Aptos" w:cs="Arial"/>
          <w:color w:val="000000"/>
          <w:sz w:val="20"/>
          <w:szCs w:val="20"/>
        </w:rPr>
      </w:pPr>
      <w:r>
        <w:rPr>
          <w:rFonts w:ascii="Aptos" w:hAnsi="Aptos" w:cs="Arial"/>
          <w:color w:val="000000"/>
          <w:sz w:val="20"/>
          <w:szCs w:val="20"/>
        </w:rPr>
        <w:t>Bitte gegebenenfalls zusätzliches Blatt verwenden.</w:t>
      </w:r>
    </w:p>
    <w:p w14:paraId="54261F33" w14:textId="77777777" w:rsidR="00A51768" w:rsidRDefault="00A51768" w:rsidP="00A51768">
      <w:pPr>
        <w:jc w:val="both"/>
        <w:rPr>
          <w:rFonts w:ascii="Aptos" w:hAnsi="Aptos" w:cs="Arial"/>
          <w:color w:val="000000"/>
        </w:rPr>
      </w:pPr>
    </w:p>
    <w:p w14:paraId="5587CFFB" w14:textId="77777777" w:rsidR="00A51768" w:rsidRDefault="00A51768" w:rsidP="00A51768">
      <w:pPr>
        <w:jc w:val="both"/>
        <w:rPr>
          <w:rFonts w:ascii="Aptos" w:hAnsi="Aptos" w:cs="Arial"/>
          <w:color w:val="000000"/>
        </w:rPr>
      </w:pPr>
      <w:r>
        <w:rPr>
          <w:rFonts w:ascii="Aptos" w:hAnsi="Aptos" w:cs="Arial"/>
          <w:color w:val="000000"/>
        </w:rPr>
        <w:t>Die Unterlassung der vollständigen ärztlichen Aufklärung erfüllt den Tatbestand der (gefährlichen) Körperverletzung. Da mein Leben durch die Impfung (erheblich) beeinträchtigt ist, fordere ich Sie auf, die Straftaten zu verfolgen, auch um ähnlichen Gefährdungen für Dritte vorzubeugen.</w:t>
      </w:r>
    </w:p>
    <w:p w14:paraId="5642A29B" w14:textId="77777777" w:rsidR="00A51768" w:rsidRDefault="00A51768" w:rsidP="00A51768">
      <w:pPr>
        <w:jc w:val="both"/>
        <w:rPr>
          <w:rFonts w:ascii="Aptos" w:hAnsi="Aptos" w:cs="Arial"/>
          <w:color w:val="000000"/>
        </w:rPr>
      </w:pPr>
    </w:p>
    <w:p w14:paraId="5564E6A7" w14:textId="77777777" w:rsidR="00A51768" w:rsidRDefault="00A51768" w:rsidP="00A51768">
      <w:pPr>
        <w:jc w:val="both"/>
        <w:rPr>
          <w:rFonts w:ascii="Aptos" w:hAnsi="Aptos" w:cs="Arial"/>
          <w:color w:val="000000"/>
        </w:rPr>
      </w:pPr>
      <w:r>
        <w:rPr>
          <w:rFonts w:ascii="Aptos" w:hAnsi="Aptos" w:cs="Arial"/>
          <w:color w:val="000000"/>
        </w:rPr>
        <w:t xml:space="preserve">Ich fordere Sie hiermit dementsprechend auf, ein Ermittlungsverfahren einzuleiten und weise Sie ausdrücklich auf den Amtsermittlungsgrundsatz hin. Ferner rege ich dringend an, zur Sachverhaltsaufklärung fachkundige sowie unabhängige Personen hinzuzuziehen, die nicht, wie beispielsweise das Personal des Robert-Koch-Institutes, des Paul-Ehrlich-Institutes oder ähnliche, in der Behördenhierarchie weisungsgebunden oder durch andere Abhängigkeiten (beispielsweise wirtschaftliche Abhängigkeit) voreingenommen arbeiten. </w:t>
      </w:r>
    </w:p>
    <w:p w14:paraId="1AF18669" w14:textId="77777777" w:rsidR="00A51768" w:rsidRDefault="00A51768" w:rsidP="00A51768">
      <w:pPr>
        <w:jc w:val="both"/>
        <w:rPr>
          <w:rFonts w:ascii="Aptos" w:hAnsi="Aptos" w:cs="Arial"/>
          <w:color w:val="000000"/>
        </w:rPr>
      </w:pPr>
    </w:p>
    <w:p w14:paraId="3EBE39A5" w14:textId="77777777" w:rsidR="00A51768" w:rsidRDefault="00A51768" w:rsidP="00A51768">
      <w:pPr>
        <w:jc w:val="both"/>
        <w:rPr>
          <w:rFonts w:ascii="Aptos" w:hAnsi="Aptos" w:cs="Arial"/>
          <w:color w:val="000000"/>
        </w:rPr>
      </w:pPr>
      <w:r>
        <w:rPr>
          <w:rFonts w:ascii="Aptos" w:hAnsi="Aptos" w:cs="Arial"/>
          <w:color w:val="000000"/>
        </w:rPr>
        <w:t xml:space="preserve">Abschließend fordere ich Sie dazu auf, mich über das Ergebnis des Ermittlungsverfahrens zu informieren. </w:t>
      </w:r>
    </w:p>
    <w:p w14:paraId="22B63E11" w14:textId="77777777" w:rsidR="00A51768" w:rsidRDefault="00A51768" w:rsidP="00A51768">
      <w:pPr>
        <w:jc w:val="both"/>
        <w:rPr>
          <w:rFonts w:ascii="Aptos" w:hAnsi="Aptos" w:cs="Arial"/>
          <w:color w:val="000000"/>
        </w:rPr>
      </w:pPr>
    </w:p>
    <w:p w14:paraId="4477E4D2" w14:textId="77777777" w:rsidR="00A51768" w:rsidRDefault="00A51768" w:rsidP="00A51768">
      <w:pPr>
        <w:jc w:val="both"/>
        <w:rPr>
          <w:rFonts w:ascii="Aptos" w:hAnsi="Aptos" w:cs="Arial"/>
          <w:color w:val="000000"/>
        </w:rPr>
      </w:pPr>
      <w:r>
        <w:rPr>
          <w:rFonts w:ascii="Aptos" w:hAnsi="Aptos" w:cs="Arial"/>
          <w:color w:val="000000"/>
        </w:rPr>
        <w:t>Mit freundlichen Grüßen</w:t>
      </w:r>
    </w:p>
    <w:p w14:paraId="4692338A" w14:textId="77777777" w:rsidR="00A51768" w:rsidRDefault="00A51768" w:rsidP="00A51768">
      <w:pPr>
        <w:jc w:val="both"/>
        <w:rPr>
          <w:rFonts w:ascii="Aptos" w:hAnsi="Aptos" w:cs="Arial"/>
          <w:color w:val="000000"/>
        </w:rPr>
      </w:pPr>
    </w:p>
    <w:p w14:paraId="71D01A82" w14:textId="77777777" w:rsidR="00A51768" w:rsidRDefault="00A51768" w:rsidP="00A51768">
      <w:pPr>
        <w:jc w:val="both"/>
        <w:rPr>
          <w:rFonts w:ascii="Aptos" w:hAnsi="Aptos" w:cs="Arial"/>
          <w:color w:val="000000"/>
        </w:rPr>
      </w:pPr>
    </w:p>
    <w:p w14:paraId="5795E436" w14:textId="77777777" w:rsidR="00A51768" w:rsidRDefault="00A51768" w:rsidP="00A51768">
      <w:pPr>
        <w:jc w:val="both"/>
        <w:rPr>
          <w:rFonts w:ascii="Aptos" w:hAnsi="Aptos" w:cs="Arial"/>
          <w:color w:val="000000"/>
        </w:rPr>
      </w:pPr>
      <w:r>
        <w:rPr>
          <w:rFonts w:ascii="Aptos" w:hAnsi="Aptos" w:cs="Arial"/>
          <w:color w:val="000000"/>
        </w:rPr>
        <w:t>__________________________________________</w:t>
      </w:r>
    </w:p>
    <w:p w14:paraId="2C60D68B" w14:textId="77777777" w:rsidR="00A51768" w:rsidRDefault="00A51768" w:rsidP="00A51768">
      <w:pPr>
        <w:tabs>
          <w:tab w:val="left" w:pos="2906"/>
        </w:tabs>
        <w:jc w:val="both"/>
        <w:rPr>
          <w:rFonts w:ascii="Aptos" w:hAnsi="Aptos" w:cs="Arial"/>
          <w:color w:val="000000"/>
          <w:sz w:val="20"/>
          <w:szCs w:val="20"/>
        </w:rPr>
      </w:pPr>
      <w:r>
        <w:rPr>
          <w:rFonts w:ascii="Aptos" w:hAnsi="Aptos" w:cs="Arial"/>
          <w:color w:val="000000"/>
          <w:sz w:val="20"/>
          <w:szCs w:val="20"/>
        </w:rPr>
        <w:t>Datum und Unterschrift</w:t>
      </w:r>
    </w:p>
    <w:p w14:paraId="384A53DC" w14:textId="77777777" w:rsidR="00F27B56" w:rsidRDefault="00F27B56"/>
    <w:sectPr w:rsidR="00F27B56" w:rsidSect="00A51768">
      <w:pgSz w:w="11906" w:h="16838"/>
      <w:pgMar w:top="1134" w:right="1418" w:bottom="1021" w:left="1418"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68"/>
    <w:rsid w:val="00521DE6"/>
    <w:rsid w:val="00A51768"/>
    <w:rsid w:val="00F27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E306"/>
  <w15:chartTrackingRefBased/>
  <w15:docId w15:val="{00992257-F6DE-419F-8354-ABC63DAE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1768"/>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A51768"/>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lang w:eastAsia="en-US"/>
    </w:rPr>
  </w:style>
  <w:style w:type="paragraph" w:styleId="berschrift2">
    <w:name w:val="heading 2"/>
    <w:basedOn w:val="Standard"/>
    <w:next w:val="Standard"/>
    <w:link w:val="berschrift2Zchn"/>
    <w:uiPriority w:val="9"/>
    <w:semiHidden/>
    <w:unhideWhenUsed/>
    <w:qFormat/>
    <w:rsid w:val="00A51768"/>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eastAsia="en-US"/>
    </w:rPr>
  </w:style>
  <w:style w:type="paragraph" w:styleId="berschrift3">
    <w:name w:val="heading 3"/>
    <w:basedOn w:val="Standard"/>
    <w:next w:val="Standard"/>
    <w:link w:val="berschrift3Zchn"/>
    <w:uiPriority w:val="9"/>
    <w:semiHidden/>
    <w:unhideWhenUsed/>
    <w:qFormat/>
    <w:rsid w:val="00A51768"/>
    <w:pPr>
      <w:keepNext/>
      <w:keepLines/>
      <w:spacing w:before="160" w:after="80" w:line="259" w:lineRule="auto"/>
      <w:outlineLvl w:val="2"/>
    </w:pPr>
    <w:rPr>
      <w:rFonts w:asciiTheme="minorHAnsi" w:eastAsiaTheme="majorEastAsia" w:hAnsiTheme="minorHAnsi" w:cstheme="majorBidi"/>
      <w:color w:val="2E74B5"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A51768"/>
    <w:pPr>
      <w:keepNext/>
      <w:keepLines/>
      <w:spacing w:before="80" w:after="40" w:line="259" w:lineRule="auto"/>
      <w:outlineLvl w:val="3"/>
    </w:pPr>
    <w:rPr>
      <w:rFonts w:asciiTheme="minorHAnsi" w:eastAsiaTheme="majorEastAsia" w:hAnsiTheme="minorHAnsi" w:cstheme="majorBidi"/>
      <w:i/>
      <w:iCs/>
      <w:color w:val="2E74B5" w:themeColor="accent1" w:themeShade="BF"/>
      <w:sz w:val="22"/>
      <w:szCs w:val="22"/>
      <w:lang w:eastAsia="en-US"/>
    </w:rPr>
  </w:style>
  <w:style w:type="paragraph" w:styleId="berschrift5">
    <w:name w:val="heading 5"/>
    <w:basedOn w:val="Standard"/>
    <w:next w:val="Standard"/>
    <w:link w:val="berschrift5Zchn"/>
    <w:uiPriority w:val="9"/>
    <w:semiHidden/>
    <w:unhideWhenUsed/>
    <w:qFormat/>
    <w:rsid w:val="00A51768"/>
    <w:pPr>
      <w:keepNext/>
      <w:keepLines/>
      <w:spacing w:before="80" w:after="40" w:line="259" w:lineRule="auto"/>
      <w:outlineLvl w:val="4"/>
    </w:pPr>
    <w:rPr>
      <w:rFonts w:asciiTheme="minorHAnsi" w:eastAsiaTheme="majorEastAsia" w:hAnsiTheme="minorHAnsi" w:cstheme="majorBidi"/>
      <w:color w:val="2E74B5" w:themeColor="accent1" w:themeShade="BF"/>
      <w:sz w:val="22"/>
      <w:szCs w:val="22"/>
      <w:lang w:eastAsia="en-US"/>
    </w:rPr>
  </w:style>
  <w:style w:type="paragraph" w:styleId="berschrift6">
    <w:name w:val="heading 6"/>
    <w:basedOn w:val="Standard"/>
    <w:next w:val="Standard"/>
    <w:link w:val="berschrift6Zchn"/>
    <w:uiPriority w:val="9"/>
    <w:semiHidden/>
    <w:unhideWhenUsed/>
    <w:qFormat/>
    <w:rsid w:val="00A51768"/>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berschrift7">
    <w:name w:val="heading 7"/>
    <w:basedOn w:val="Standard"/>
    <w:next w:val="Standard"/>
    <w:link w:val="berschrift7Zchn"/>
    <w:uiPriority w:val="9"/>
    <w:semiHidden/>
    <w:unhideWhenUsed/>
    <w:qFormat/>
    <w:rsid w:val="00A51768"/>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berschrift8">
    <w:name w:val="heading 8"/>
    <w:basedOn w:val="Standard"/>
    <w:next w:val="Standard"/>
    <w:link w:val="berschrift8Zchn"/>
    <w:uiPriority w:val="9"/>
    <w:semiHidden/>
    <w:unhideWhenUsed/>
    <w:qFormat/>
    <w:rsid w:val="00A51768"/>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berschrift9">
    <w:name w:val="heading 9"/>
    <w:basedOn w:val="Standard"/>
    <w:next w:val="Standard"/>
    <w:link w:val="berschrift9Zchn"/>
    <w:uiPriority w:val="9"/>
    <w:semiHidden/>
    <w:unhideWhenUsed/>
    <w:qFormat/>
    <w:rsid w:val="00A51768"/>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1768"/>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A5176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A51768"/>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A51768"/>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51768"/>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A517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17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17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1768"/>
    <w:rPr>
      <w:rFonts w:eastAsiaTheme="majorEastAsia" w:cstheme="majorBidi"/>
      <w:color w:val="272727" w:themeColor="text1" w:themeTint="D8"/>
    </w:rPr>
  </w:style>
  <w:style w:type="paragraph" w:styleId="Titel">
    <w:name w:val="Title"/>
    <w:basedOn w:val="Standard"/>
    <w:next w:val="Standard"/>
    <w:link w:val="TitelZchn"/>
    <w:uiPriority w:val="10"/>
    <w:qFormat/>
    <w:rsid w:val="00A51768"/>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A517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1768"/>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UntertitelZchn">
    <w:name w:val="Untertitel Zchn"/>
    <w:basedOn w:val="Absatz-Standardschriftart"/>
    <w:link w:val="Untertitel"/>
    <w:uiPriority w:val="11"/>
    <w:rsid w:val="00A517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1768"/>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ZitatZchn">
    <w:name w:val="Zitat Zchn"/>
    <w:basedOn w:val="Absatz-Standardschriftart"/>
    <w:link w:val="Zitat"/>
    <w:uiPriority w:val="29"/>
    <w:rsid w:val="00A51768"/>
    <w:rPr>
      <w:i/>
      <w:iCs/>
      <w:color w:val="404040" w:themeColor="text1" w:themeTint="BF"/>
    </w:rPr>
  </w:style>
  <w:style w:type="paragraph" w:styleId="Listenabsatz">
    <w:name w:val="List Paragraph"/>
    <w:basedOn w:val="Standard"/>
    <w:uiPriority w:val="34"/>
    <w:qFormat/>
    <w:rsid w:val="00A51768"/>
    <w:pPr>
      <w:spacing w:after="160" w:line="259" w:lineRule="auto"/>
      <w:ind w:left="720"/>
      <w:contextualSpacing/>
    </w:pPr>
    <w:rPr>
      <w:rFonts w:asciiTheme="minorHAnsi" w:eastAsiaTheme="minorHAnsi" w:hAnsiTheme="minorHAnsi" w:cstheme="minorBidi"/>
      <w:sz w:val="22"/>
      <w:szCs w:val="22"/>
      <w:lang w:eastAsia="en-US"/>
    </w:rPr>
  </w:style>
  <w:style w:type="character" w:styleId="IntensiveHervorhebung">
    <w:name w:val="Intense Emphasis"/>
    <w:basedOn w:val="Absatz-Standardschriftart"/>
    <w:uiPriority w:val="21"/>
    <w:qFormat/>
    <w:rsid w:val="00A51768"/>
    <w:rPr>
      <w:i/>
      <w:iCs/>
      <w:color w:val="2E74B5" w:themeColor="accent1" w:themeShade="BF"/>
    </w:rPr>
  </w:style>
  <w:style w:type="paragraph" w:styleId="IntensivesZitat">
    <w:name w:val="Intense Quote"/>
    <w:basedOn w:val="Standard"/>
    <w:next w:val="Standard"/>
    <w:link w:val="IntensivesZitatZchn"/>
    <w:uiPriority w:val="30"/>
    <w:qFormat/>
    <w:rsid w:val="00A51768"/>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sz w:val="22"/>
      <w:szCs w:val="22"/>
      <w:lang w:eastAsia="en-US"/>
    </w:rPr>
  </w:style>
  <w:style w:type="character" w:customStyle="1" w:styleId="IntensivesZitatZchn">
    <w:name w:val="Intensives Zitat Zchn"/>
    <w:basedOn w:val="Absatz-Standardschriftart"/>
    <w:link w:val="IntensivesZitat"/>
    <w:uiPriority w:val="30"/>
    <w:rsid w:val="00A51768"/>
    <w:rPr>
      <w:i/>
      <w:iCs/>
      <w:color w:val="2E74B5" w:themeColor="accent1" w:themeShade="BF"/>
    </w:rPr>
  </w:style>
  <w:style w:type="character" w:styleId="IntensiverVerweis">
    <w:name w:val="Intense Reference"/>
    <w:basedOn w:val="Absatz-Standardschriftart"/>
    <w:uiPriority w:val="32"/>
    <w:qFormat/>
    <w:rsid w:val="00A5176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6738</Characters>
  <Application>Microsoft Office Word</Application>
  <DocSecurity>0</DocSecurity>
  <Lines>56</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Jürgen</dc:creator>
  <cp:keywords/>
  <dc:description/>
  <cp:lastModifiedBy>Müller, Jürgen</cp:lastModifiedBy>
  <cp:revision>1</cp:revision>
  <dcterms:created xsi:type="dcterms:W3CDTF">2024-08-11T20:27:00Z</dcterms:created>
  <dcterms:modified xsi:type="dcterms:W3CDTF">2024-08-11T20:28:00Z</dcterms:modified>
</cp:coreProperties>
</file>